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CF92239"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#99</w:t>
      </w:r>
      <w:r w:rsidR="00717308">
        <w:t>bis</w:t>
      </w:r>
      <w:r w:rsidR="0074405B">
        <w:tab/>
      </w:r>
      <w:r w:rsidR="007E4B22" w:rsidRPr="007A068F">
        <w:rPr>
          <w:szCs w:val="24"/>
        </w:rPr>
        <w:t>Tdoc R3</w:t>
      </w:r>
      <w:r w:rsidR="00D70E73" w:rsidRPr="007A068F">
        <w:rPr>
          <w:szCs w:val="24"/>
        </w:rPr>
        <w:t>-1</w:t>
      </w:r>
      <w:r w:rsidR="006723DA">
        <w:rPr>
          <w:szCs w:val="24"/>
        </w:rPr>
        <w:t>8</w:t>
      </w:r>
      <w:r w:rsidR="00280950">
        <w:rPr>
          <w:szCs w:val="24"/>
        </w:rPr>
        <w:t>2225</w:t>
      </w:r>
    </w:p>
    <w:p w14:paraId="56C12257" w14:textId="7EFFC4B0" w:rsidR="00E90E49" w:rsidRPr="00CE0424" w:rsidRDefault="00717308" w:rsidP="00357380">
      <w:pPr>
        <w:pStyle w:val="3GPPHeader"/>
      </w:pPr>
      <w:r>
        <w:rPr>
          <w:lang w:eastAsia="en-US"/>
        </w:rPr>
        <w:t>Sanya</w:t>
      </w:r>
      <w:r w:rsidR="00DA01B6" w:rsidRPr="00DA01B6">
        <w:rPr>
          <w:lang w:eastAsia="en-US"/>
        </w:rPr>
        <w:t xml:space="preserve">, </w:t>
      </w:r>
      <w:r>
        <w:rPr>
          <w:lang w:eastAsia="en-US"/>
        </w:rPr>
        <w:t>P. R. China</w:t>
      </w:r>
      <w:r w:rsidR="00DA01B6" w:rsidRPr="00DA01B6">
        <w:rPr>
          <w:lang w:eastAsia="en-US"/>
        </w:rPr>
        <w:t>,</w:t>
      </w:r>
      <w:r w:rsidR="007A068F" w:rsidRPr="007A068F">
        <w:rPr>
          <w:lang w:eastAsia="en-US"/>
        </w:rPr>
        <w:t xml:space="preserve"> </w:t>
      </w:r>
      <w:r w:rsidR="00F474FC">
        <w:rPr>
          <w:noProof/>
        </w:rPr>
        <w:t>16</w:t>
      </w:r>
      <w:r w:rsidR="00F474FC">
        <w:rPr>
          <w:noProof/>
          <w:vertAlign w:val="superscript"/>
        </w:rPr>
        <w:t>th</w:t>
      </w:r>
      <w:r w:rsidR="00F474FC">
        <w:rPr>
          <w:noProof/>
        </w:rPr>
        <w:t>- 20</w:t>
      </w:r>
      <w:r w:rsidR="00F474FC">
        <w:rPr>
          <w:noProof/>
          <w:vertAlign w:val="superscript"/>
        </w:rPr>
        <w:t>th</w:t>
      </w:r>
      <w:r w:rsidR="00F474FC">
        <w:rPr>
          <w:noProof/>
        </w:rPr>
        <w:t xml:space="preserve"> April  2018</w:t>
      </w:r>
    </w:p>
    <w:p w14:paraId="65101127" w14:textId="77777777" w:rsidR="007A068F" w:rsidRDefault="007A068F" w:rsidP="00311702">
      <w:pPr>
        <w:pStyle w:val="3GPPHeader"/>
        <w:rPr>
          <w:sz w:val="22"/>
          <w:szCs w:val="22"/>
          <w:lang w:val="en-US"/>
        </w:rPr>
      </w:pPr>
    </w:p>
    <w:p w14:paraId="4A4F422A" w14:textId="0DBD61E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2D6349">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25BCD88" w:rsidR="00E90E49" w:rsidRPr="00CE0424" w:rsidRDefault="003D3C45" w:rsidP="00311702">
      <w:pPr>
        <w:pStyle w:val="3GPPHeader"/>
        <w:rPr>
          <w:sz w:val="22"/>
          <w:szCs w:val="22"/>
        </w:rPr>
      </w:pPr>
      <w:r>
        <w:rPr>
          <w:sz w:val="22"/>
          <w:szCs w:val="22"/>
        </w:rPr>
        <w:t>Title:</w:t>
      </w:r>
      <w:r w:rsidR="00E90E49" w:rsidRPr="00CE0424">
        <w:rPr>
          <w:sz w:val="22"/>
          <w:szCs w:val="22"/>
        </w:rPr>
        <w:tab/>
      </w:r>
      <w:r w:rsidR="002939A3">
        <w:rPr>
          <w:sz w:val="22"/>
          <w:szCs w:val="22"/>
        </w:rPr>
        <w:t>Dual-connectivity configuration over E1</w:t>
      </w:r>
      <w:r w:rsidR="00643EEF">
        <w:rPr>
          <w:sz w:val="22"/>
          <w:szCs w:val="22"/>
        </w:rPr>
        <w:t xml:space="preserve"> </w:t>
      </w:r>
      <w:r w:rsidR="00F021D1">
        <w:rPr>
          <w:sz w:val="22"/>
          <w:szCs w:val="22"/>
        </w:rPr>
        <w:t xml:space="preserve"> </w:t>
      </w:r>
    </w:p>
    <w:p w14:paraId="7E783B99" w14:textId="4CDAD56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93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A653B08" w14:textId="300B050B" w:rsidR="006073CD" w:rsidRDefault="00E41ED3" w:rsidP="00E41ED3">
      <w:r>
        <w:t>The Bearer Context procedures should allow to configure dual-connectivity (and in the future multi-connectivity)</w:t>
      </w:r>
      <w:r w:rsidR="00F6537B">
        <w:t xml:space="preserve"> [1]</w:t>
      </w:r>
      <w:r>
        <w:t xml:space="preserve">. Therefore, it should be possible in the Bearer Context procedures to setup DRBs with multiple cell groups (i.e., radio legs). </w:t>
      </w:r>
      <w:r w:rsidR="002D6349">
        <w:t>The DRB should</w:t>
      </w:r>
      <w:r>
        <w:t xml:space="preserve"> be assigned a separate GTP tunnel</w:t>
      </w:r>
      <w:r w:rsidR="006073CD">
        <w:t xml:space="preserve"> </w:t>
      </w:r>
      <w:r w:rsidR="002D6349">
        <w:t xml:space="preserve">per cell group (i.e., radio leg) </w:t>
      </w:r>
      <w:r w:rsidR="006073CD">
        <w:t>over the RAN interfaces (F1, X2 and/or Xn)</w:t>
      </w:r>
      <w:r>
        <w:t>. It should be also possible to perform bearer type changes, e.g., switch from split to non-split bearer</w:t>
      </w:r>
      <w:r w:rsidR="006073CD">
        <w:t xml:space="preserve"> configurations</w:t>
      </w:r>
      <w:r>
        <w:t xml:space="preserve">. </w:t>
      </w:r>
    </w:p>
    <w:p w14:paraId="3FB4080B" w14:textId="200D499A" w:rsidR="00183274" w:rsidRDefault="00E41ED3" w:rsidP="00475D73">
      <w:r>
        <w:t xml:space="preserve">For </w:t>
      </w:r>
      <w:r w:rsidR="00C67B62">
        <w:t>these</w:t>
      </w:r>
      <w:r>
        <w:t xml:space="preserve"> reason</w:t>
      </w:r>
      <w:r w:rsidR="006073CD">
        <w:t>s</w:t>
      </w:r>
      <w:r>
        <w:t xml:space="preserve">, the CU-CP should be able to indicate over E1 which cell group (i.e., radio leg) for a given DRB should </w:t>
      </w:r>
      <w:r w:rsidR="00AF5D21">
        <w:t xml:space="preserve">be </w:t>
      </w:r>
      <w:r>
        <w:t>added / modified / removed. This requires introducing cell group information</w:t>
      </w:r>
      <w:r w:rsidR="00AF5D21">
        <w:t xml:space="preserve"> (including cell group ID)</w:t>
      </w:r>
      <w:r>
        <w:t xml:space="preserve"> in the Bearer Context procedures over E1. In the following we provide some specific examples. </w:t>
      </w:r>
    </w:p>
    <w:p w14:paraId="7B181892" w14:textId="77777777" w:rsidR="000373A1" w:rsidRDefault="000373A1" w:rsidP="000373A1">
      <w:pPr>
        <w:pStyle w:val="Heading1"/>
      </w:pPr>
      <w:r>
        <w:t>Discussion</w:t>
      </w:r>
    </w:p>
    <w:p w14:paraId="66738D40" w14:textId="5F993215" w:rsidR="000373A1" w:rsidRDefault="000373A1" w:rsidP="000373A1">
      <w:pPr>
        <w:pStyle w:val="TOC1"/>
        <w:spacing w:after="120"/>
        <w:ind w:left="0" w:firstLine="0"/>
        <w:jc w:val="both"/>
        <w:rPr>
          <w:b w:val="0"/>
          <w:noProof w:val="0"/>
          <w:lang w:val="en-GB"/>
        </w:rPr>
      </w:pPr>
      <w:r>
        <w:rPr>
          <w:b w:val="0"/>
          <w:noProof w:val="0"/>
          <w:lang w:val="en-GB"/>
        </w:rPr>
        <w:t xml:space="preserve">The E1 signalling should allow to setup dual-connectivity. This means that it should be possible to indicate in the Bearer Context </w:t>
      </w:r>
      <w:r w:rsidR="00F90270">
        <w:rPr>
          <w:b w:val="0"/>
          <w:noProof w:val="0"/>
          <w:lang w:val="en-GB"/>
        </w:rPr>
        <w:t xml:space="preserve">Setup </w:t>
      </w:r>
      <w:r>
        <w:rPr>
          <w:b w:val="0"/>
          <w:noProof w:val="0"/>
          <w:lang w:val="en-GB"/>
        </w:rPr>
        <w:t xml:space="preserve">procedures that the DRB is composed by multiple cell groups (i.e., radio legs). According to RAN2 agreement, the number of cell groups is limited to two in Rel-15. However, in future releases it is expected that multi-connectivity solutions will allow to setup more cell groups for a DRB. For example, for forward compatibility the current RRC signalling in TS 38.331 is already designed to support up to four cell groups for the same DRB. Therefore, the E1 signalling should support setting up DRBs with multiple cell groups and should also allow to setup one GTP tunnel per cell group. </w:t>
      </w:r>
    </w:p>
    <w:p w14:paraId="787D35F9" w14:textId="77777777" w:rsidR="000373A1" w:rsidRDefault="000373A1" w:rsidP="000373A1">
      <w:pPr>
        <w:pStyle w:val="TOC1"/>
        <w:spacing w:after="120"/>
        <w:ind w:left="0" w:firstLine="0"/>
        <w:jc w:val="both"/>
        <w:rPr>
          <w:b w:val="0"/>
          <w:noProof w:val="0"/>
          <w:lang w:val="en-GB"/>
        </w:rPr>
      </w:pPr>
      <w:r>
        <w:rPr>
          <w:b w:val="0"/>
          <w:noProof w:val="0"/>
          <w:lang w:val="en-GB"/>
        </w:rPr>
        <w:t>One example of a procedure for configuring a DRB with two cell groups (i.e., radio leg) is shown in Figure 1.</w:t>
      </w:r>
    </w:p>
    <w:p w14:paraId="768C7722" w14:textId="08946029" w:rsidR="000373A1" w:rsidRDefault="00F90270" w:rsidP="000373A1">
      <w:pPr>
        <w:pStyle w:val="TOC1"/>
        <w:spacing w:after="120"/>
        <w:ind w:left="0" w:firstLine="0"/>
        <w:jc w:val="center"/>
        <w:rPr>
          <w:b w:val="0"/>
          <w:noProof w:val="0"/>
          <w:lang w:val="en-GB"/>
        </w:rPr>
      </w:pPr>
      <w:r>
        <w:object w:dxaOrig="7905" w:dyaOrig="4051" w14:anchorId="2A408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202.9pt" o:ole="">
            <v:imagedata r:id="rId13" o:title=""/>
          </v:shape>
          <o:OLEObject Type="Embed" ProgID="Visio.Drawing.15" ShapeID="_x0000_i1025" DrawAspect="Content" ObjectID="_1584560050" r:id="rId14"/>
        </w:object>
      </w:r>
    </w:p>
    <w:p w14:paraId="64672988" w14:textId="132C877F" w:rsidR="000373A1" w:rsidRDefault="000373A1" w:rsidP="000373A1">
      <w:pPr>
        <w:pStyle w:val="TOC1"/>
        <w:spacing w:after="120"/>
        <w:ind w:left="0" w:firstLine="0"/>
        <w:jc w:val="center"/>
        <w:rPr>
          <w:b w:val="0"/>
          <w:noProof w:val="0"/>
          <w:lang w:val="en-GB"/>
        </w:rPr>
      </w:pPr>
      <w:r w:rsidRPr="00AF5D21">
        <w:rPr>
          <w:noProof w:val="0"/>
          <w:lang w:val="en-GB"/>
        </w:rPr>
        <w:t>Figure 1: Setup a DRB</w:t>
      </w:r>
      <w:r w:rsidR="00C201A6">
        <w:rPr>
          <w:noProof w:val="0"/>
          <w:lang w:val="en-GB"/>
        </w:rPr>
        <w:t>1</w:t>
      </w:r>
      <w:r w:rsidRPr="00AF5D21">
        <w:rPr>
          <w:noProof w:val="0"/>
          <w:lang w:val="en-GB"/>
        </w:rPr>
        <w:t xml:space="preserve"> with two cell groups (i.e., radio legs)</w:t>
      </w:r>
      <w:r>
        <w:rPr>
          <w:noProof w:val="0"/>
          <w:lang w:val="en-GB"/>
        </w:rPr>
        <w:t>.</w:t>
      </w:r>
    </w:p>
    <w:p w14:paraId="38CD51BE" w14:textId="77777777" w:rsidR="000373A1" w:rsidRDefault="000373A1" w:rsidP="00475D73"/>
    <w:p w14:paraId="2F50CC6B" w14:textId="7E0A24B0" w:rsidR="00AF5D21" w:rsidRDefault="00AF5D21" w:rsidP="00AF5D21">
      <w:pPr>
        <w:pStyle w:val="TOC1"/>
        <w:spacing w:after="240"/>
        <w:ind w:left="0" w:firstLine="0"/>
        <w:jc w:val="center"/>
        <w:rPr>
          <w:noProof w:val="0"/>
          <w:lang w:val="en-GB"/>
        </w:rPr>
      </w:pPr>
      <w:r w:rsidRPr="00AF5D21">
        <w:rPr>
          <w:noProof w:val="0"/>
          <w:lang w:val="en-GB"/>
        </w:rPr>
        <w:lastRenderedPageBreak/>
        <w:t>.</w:t>
      </w:r>
    </w:p>
    <w:p w14:paraId="0AD2EB99" w14:textId="1FBDEE12" w:rsidR="00AF5D21" w:rsidRDefault="000373A1" w:rsidP="00AF5D21">
      <w:pPr>
        <w:pStyle w:val="TOC1"/>
        <w:numPr>
          <w:ilvl w:val="0"/>
          <w:numId w:val="37"/>
        </w:numPr>
        <w:spacing w:after="120"/>
        <w:jc w:val="both"/>
        <w:rPr>
          <w:b w:val="0"/>
          <w:noProof w:val="0"/>
          <w:lang w:val="en-GB"/>
        </w:rPr>
      </w:pPr>
      <w:r>
        <w:rPr>
          <w:b w:val="0"/>
          <w:noProof w:val="0"/>
          <w:lang w:val="en-GB"/>
        </w:rPr>
        <w:t>T</w:t>
      </w:r>
      <w:r w:rsidR="00AF5D21">
        <w:rPr>
          <w:b w:val="0"/>
          <w:noProof w:val="0"/>
          <w:lang w:val="en-GB"/>
        </w:rPr>
        <w:t xml:space="preserve">he CU-CP decides to setup DRB1 </w:t>
      </w:r>
      <w:r>
        <w:rPr>
          <w:b w:val="0"/>
          <w:noProof w:val="0"/>
          <w:lang w:val="en-GB"/>
        </w:rPr>
        <w:t>to support NR-NR-DC (NN-DC) between gNB-DU1 (providing the MCG) and gNB-DU2 (providing the SCG).</w:t>
      </w:r>
    </w:p>
    <w:p w14:paraId="1BBCE2D9" w14:textId="68DF00CB" w:rsidR="000373A1" w:rsidRDefault="000373A1" w:rsidP="00AF5D21">
      <w:pPr>
        <w:pStyle w:val="TOC1"/>
        <w:numPr>
          <w:ilvl w:val="0"/>
          <w:numId w:val="37"/>
        </w:numPr>
        <w:spacing w:after="120"/>
        <w:jc w:val="both"/>
        <w:rPr>
          <w:b w:val="0"/>
          <w:noProof w:val="0"/>
          <w:lang w:val="en-GB"/>
        </w:rPr>
      </w:pPr>
      <w:r>
        <w:rPr>
          <w:b w:val="0"/>
          <w:noProof w:val="0"/>
          <w:lang w:val="en-GB"/>
        </w:rPr>
        <w:t>The CU-CP sends Bearer Context Setup Request message requesting to setup DRB1 with two cell groups and potentially providing the corresponding cell group IDs.</w:t>
      </w:r>
    </w:p>
    <w:p w14:paraId="200C3ED4" w14:textId="5D094EA8" w:rsidR="000373A1" w:rsidRDefault="000373A1" w:rsidP="000373A1">
      <w:pPr>
        <w:pStyle w:val="TOC1"/>
        <w:numPr>
          <w:ilvl w:val="0"/>
          <w:numId w:val="37"/>
        </w:numPr>
        <w:spacing w:after="120"/>
        <w:jc w:val="both"/>
        <w:rPr>
          <w:b w:val="0"/>
          <w:noProof w:val="0"/>
          <w:lang w:val="en-GB"/>
        </w:rPr>
      </w:pPr>
      <w:r>
        <w:rPr>
          <w:b w:val="0"/>
          <w:noProof w:val="0"/>
          <w:lang w:val="en-GB"/>
        </w:rPr>
        <w:t>The CU-UP responds with Bearer Context Setup Response message with two UL GTP TEIDs allocated for DRB1 (one per cell group).</w:t>
      </w:r>
    </w:p>
    <w:p w14:paraId="57A8D201" w14:textId="7B34AEC8" w:rsidR="000373A1" w:rsidRDefault="000373A1" w:rsidP="00AF5D21">
      <w:pPr>
        <w:pStyle w:val="TOC1"/>
        <w:numPr>
          <w:ilvl w:val="0"/>
          <w:numId w:val="37"/>
        </w:numPr>
        <w:spacing w:after="120"/>
        <w:jc w:val="both"/>
        <w:rPr>
          <w:b w:val="0"/>
          <w:noProof w:val="0"/>
          <w:lang w:val="en-GB"/>
        </w:rPr>
      </w:pPr>
      <w:r>
        <w:rPr>
          <w:b w:val="0"/>
          <w:noProof w:val="0"/>
          <w:lang w:val="en-GB"/>
        </w:rPr>
        <w:t xml:space="preserve">The CU-CP sends the F1 UE context Setup Request to gNB-DU1 to configure the MCG. The F1 UE Context Setup Request may include the RRC-Reconfiguration for the UE. The CU-CP sends the F1 UE context Setup Request to gNB-DU2 to configure the SCG. </w:t>
      </w:r>
    </w:p>
    <w:p w14:paraId="2C13BFE8" w14:textId="211673E6" w:rsidR="000373A1" w:rsidRDefault="000373A1" w:rsidP="000373A1">
      <w:pPr>
        <w:pStyle w:val="TOC1"/>
        <w:numPr>
          <w:ilvl w:val="0"/>
          <w:numId w:val="37"/>
        </w:numPr>
        <w:spacing w:after="120"/>
        <w:jc w:val="both"/>
        <w:rPr>
          <w:b w:val="0"/>
          <w:noProof w:val="0"/>
          <w:lang w:val="en-GB"/>
        </w:rPr>
      </w:pPr>
      <w:r>
        <w:rPr>
          <w:b w:val="0"/>
          <w:noProof w:val="0"/>
          <w:lang w:val="en-GB"/>
        </w:rPr>
        <w:t xml:space="preserve">The CU-CP sends </w:t>
      </w:r>
      <w:r w:rsidR="008D4F28">
        <w:rPr>
          <w:b w:val="0"/>
          <w:noProof w:val="0"/>
          <w:lang w:val="en-GB"/>
        </w:rPr>
        <w:t xml:space="preserve">the </w:t>
      </w:r>
      <w:r>
        <w:rPr>
          <w:b w:val="0"/>
          <w:noProof w:val="0"/>
          <w:lang w:val="en-GB"/>
        </w:rPr>
        <w:t xml:space="preserve">Bearer Context Modification Request message and provides two DL TEIDs for DRB1 (one per cell group). </w:t>
      </w:r>
    </w:p>
    <w:p w14:paraId="6615D010" w14:textId="429E2DB9" w:rsidR="000056E4" w:rsidRPr="00F90270" w:rsidRDefault="000373A1" w:rsidP="00F90270">
      <w:pPr>
        <w:pStyle w:val="TOC1"/>
        <w:numPr>
          <w:ilvl w:val="0"/>
          <w:numId w:val="37"/>
        </w:numPr>
        <w:spacing w:after="120"/>
        <w:jc w:val="both"/>
        <w:rPr>
          <w:b w:val="0"/>
          <w:noProof w:val="0"/>
          <w:lang w:val="en-GB"/>
        </w:rPr>
      </w:pPr>
      <w:r>
        <w:rPr>
          <w:b w:val="0"/>
          <w:noProof w:val="0"/>
          <w:lang w:val="en-GB"/>
        </w:rPr>
        <w:t>The CU-UP replies with Bearer Context Modification Response message. From this moment, the UE is configured with DRB1</w:t>
      </w:r>
      <w:r w:rsidR="00F90270">
        <w:rPr>
          <w:b w:val="0"/>
          <w:noProof w:val="0"/>
          <w:lang w:val="en-GB"/>
        </w:rPr>
        <w:t xml:space="preserve"> with two cell groups, where the MCG is served by gNB-DU1 and the SCG is served by gNB-DU2.</w:t>
      </w:r>
    </w:p>
    <w:p w14:paraId="60E1D9F9" w14:textId="081D43FE" w:rsidR="000056E4" w:rsidRDefault="00F90270" w:rsidP="002939A3">
      <w:pPr>
        <w:pStyle w:val="TOC1"/>
        <w:spacing w:after="120"/>
        <w:ind w:left="0" w:firstLine="0"/>
        <w:jc w:val="both"/>
        <w:rPr>
          <w:b w:val="0"/>
          <w:noProof w:val="0"/>
          <w:lang w:val="en-GB"/>
        </w:rPr>
      </w:pPr>
      <w:r>
        <w:rPr>
          <w:b w:val="0"/>
          <w:noProof w:val="0"/>
          <w:lang w:val="en-GB"/>
        </w:rPr>
        <w:t xml:space="preserve">Let us assume that after some time the CU-CP decides to remove the SCG radio leg (served by gNB-DU2). An example of the procedure is shown in Figure 2. </w:t>
      </w:r>
    </w:p>
    <w:p w14:paraId="6DB7E693" w14:textId="5013170C" w:rsidR="00C201A6" w:rsidRDefault="00C201A6" w:rsidP="00C201A6">
      <w:pPr>
        <w:pStyle w:val="TOC1"/>
        <w:spacing w:after="120"/>
        <w:ind w:left="0" w:firstLine="0"/>
        <w:jc w:val="center"/>
        <w:rPr>
          <w:b w:val="0"/>
          <w:noProof w:val="0"/>
          <w:lang w:val="en-GB"/>
        </w:rPr>
      </w:pPr>
      <w:r>
        <w:object w:dxaOrig="7891" w:dyaOrig="4906" w14:anchorId="69507E88">
          <v:shape id="_x0000_i1026" type="#_x0000_t75" style="width:394.6pt;height:245pt" o:ole="">
            <v:imagedata r:id="rId15" o:title=""/>
          </v:shape>
          <o:OLEObject Type="Embed" ProgID="Visio.Drawing.15" ShapeID="_x0000_i1026" DrawAspect="Content" ObjectID="_1584560051" r:id="rId16"/>
        </w:object>
      </w:r>
    </w:p>
    <w:p w14:paraId="73EA551A" w14:textId="7B1A2EC5" w:rsidR="00C201A6" w:rsidRPr="00C201A6" w:rsidRDefault="00C201A6" w:rsidP="00C201A6">
      <w:pPr>
        <w:pStyle w:val="TOC1"/>
        <w:spacing w:after="120"/>
        <w:ind w:left="0" w:firstLine="0"/>
        <w:jc w:val="center"/>
        <w:rPr>
          <w:noProof w:val="0"/>
          <w:lang w:val="en-GB"/>
        </w:rPr>
      </w:pPr>
      <w:r w:rsidRPr="00C201A6">
        <w:rPr>
          <w:noProof w:val="0"/>
          <w:lang w:val="en-GB"/>
        </w:rPr>
        <w:t>Figure 2: Remove one cell group (i.e., radio leg) for DRB1.</w:t>
      </w:r>
    </w:p>
    <w:p w14:paraId="356AED1C" w14:textId="34D13140" w:rsidR="00C201A6" w:rsidRDefault="00C201A6" w:rsidP="00C201A6">
      <w:pPr>
        <w:pStyle w:val="TOC1"/>
        <w:numPr>
          <w:ilvl w:val="0"/>
          <w:numId w:val="38"/>
        </w:numPr>
        <w:spacing w:after="120"/>
        <w:jc w:val="both"/>
        <w:rPr>
          <w:b w:val="0"/>
          <w:noProof w:val="0"/>
          <w:lang w:val="en-GB"/>
        </w:rPr>
      </w:pPr>
      <w:r>
        <w:rPr>
          <w:b w:val="0"/>
          <w:noProof w:val="0"/>
          <w:lang w:val="en-GB"/>
        </w:rPr>
        <w:t>The CU-CP decides to remove the SCG leg for DRB1. (Note that according to TS 38.331: MCG cell group = 0; SCG cell group = 1).</w:t>
      </w:r>
    </w:p>
    <w:p w14:paraId="62170CCF" w14:textId="2C745395"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Bearer Context Modification Request message requesting the CU-UP to stop DL data transmission for cell group 1 for DRB1. </w:t>
      </w:r>
    </w:p>
    <w:p w14:paraId="26F81057" w14:textId="3D7B97EA" w:rsidR="00C201A6" w:rsidRDefault="00C201A6" w:rsidP="00C201A6">
      <w:pPr>
        <w:pStyle w:val="TOC1"/>
        <w:numPr>
          <w:ilvl w:val="0"/>
          <w:numId w:val="38"/>
        </w:numPr>
        <w:spacing w:after="120"/>
        <w:jc w:val="both"/>
        <w:rPr>
          <w:b w:val="0"/>
          <w:noProof w:val="0"/>
          <w:lang w:val="en-GB"/>
        </w:rPr>
      </w:pPr>
      <w:r>
        <w:rPr>
          <w:b w:val="0"/>
          <w:noProof w:val="0"/>
          <w:lang w:val="en-GB"/>
        </w:rPr>
        <w:t xml:space="preserve">The CU-UP responds with Bearer Context Modification Response message confirming that it stopped DL data transmission over cell group 1. </w:t>
      </w:r>
    </w:p>
    <w:p w14:paraId="79B9388B" w14:textId="0D972266"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the F1 UE Context Modification Request to gNB-DU1 with RRC-Reconfiguration message for the UE and optionally update in configuration for gNB-DU1 (e.g., change QoS parameters because the UE is not in DC anymore). The CU-CP also sends F1 UE Context Modification Request to gNB-DU2 with UL TX stop indication. </w:t>
      </w:r>
    </w:p>
    <w:p w14:paraId="51BB1B2A" w14:textId="5E34C156" w:rsidR="00C201A6" w:rsidRDefault="00C201A6" w:rsidP="00C201A6">
      <w:pPr>
        <w:pStyle w:val="TOC1"/>
        <w:numPr>
          <w:ilvl w:val="0"/>
          <w:numId w:val="38"/>
        </w:numPr>
        <w:spacing w:after="120"/>
        <w:jc w:val="both"/>
        <w:rPr>
          <w:b w:val="0"/>
          <w:noProof w:val="0"/>
          <w:lang w:val="en-GB"/>
        </w:rPr>
      </w:pPr>
      <w:r>
        <w:rPr>
          <w:b w:val="0"/>
          <w:noProof w:val="0"/>
          <w:lang w:val="en-GB"/>
        </w:rPr>
        <w:t xml:space="preserve">The CU-CP sends the Bearer Context Modification Request message requesting the CU-UP to remove the leg corresponding to cell group 1. </w:t>
      </w:r>
    </w:p>
    <w:p w14:paraId="120DFF0A" w14:textId="3A22B6A3" w:rsidR="00C201A6" w:rsidRDefault="00C201A6" w:rsidP="00C201A6">
      <w:pPr>
        <w:pStyle w:val="TOC1"/>
        <w:numPr>
          <w:ilvl w:val="0"/>
          <w:numId w:val="38"/>
        </w:numPr>
        <w:spacing w:after="120"/>
        <w:jc w:val="both"/>
        <w:rPr>
          <w:b w:val="0"/>
          <w:noProof w:val="0"/>
          <w:lang w:val="en-GB"/>
        </w:rPr>
      </w:pPr>
      <w:r>
        <w:rPr>
          <w:b w:val="0"/>
          <w:noProof w:val="0"/>
          <w:lang w:val="en-GB"/>
        </w:rPr>
        <w:t xml:space="preserve">In parallel to the step 4, the CU-CP runs the F1 UE Context Release procedure to release the SCG resources in gNB-DU2. </w:t>
      </w:r>
    </w:p>
    <w:p w14:paraId="789AA8AD" w14:textId="6848EA9B" w:rsidR="00C201A6" w:rsidRDefault="00C201A6" w:rsidP="00C201A6">
      <w:pPr>
        <w:pStyle w:val="TOC1"/>
        <w:numPr>
          <w:ilvl w:val="0"/>
          <w:numId w:val="38"/>
        </w:numPr>
        <w:spacing w:after="120"/>
        <w:jc w:val="both"/>
        <w:rPr>
          <w:b w:val="0"/>
          <w:noProof w:val="0"/>
          <w:lang w:val="en-GB"/>
        </w:rPr>
      </w:pPr>
      <w:r>
        <w:rPr>
          <w:b w:val="0"/>
          <w:noProof w:val="0"/>
          <w:lang w:val="en-GB"/>
        </w:rPr>
        <w:lastRenderedPageBreak/>
        <w:t xml:space="preserve">The CU-UP sense Bearer Context Modification Response message confirming that the leg corresponding to cell group 1 has been removed.  </w:t>
      </w:r>
    </w:p>
    <w:p w14:paraId="505D3CA9" w14:textId="5CDB480A" w:rsidR="00911428" w:rsidRDefault="00911428" w:rsidP="00911428">
      <w:pPr>
        <w:pStyle w:val="TOC1"/>
        <w:spacing w:after="120"/>
        <w:jc w:val="both"/>
        <w:rPr>
          <w:b w:val="0"/>
          <w:noProof w:val="0"/>
          <w:lang w:val="en-GB"/>
        </w:rPr>
      </w:pPr>
      <w:r>
        <w:rPr>
          <w:b w:val="0"/>
          <w:noProof w:val="0"/>
          <w:lang w:val="en-GB"/>
        </w:rPr>
        <w:t>Based on the discussion above, we conclude the following.</w:t>
      </w:r>
    </w:p>
    <w:p w14:paraId="6492AECE" w14:textId="5C899B4E" w:rsidR="00911428" w:rsidRDefault="00911428" w:rsidP="00911428">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w:t>
      </w:r>
      <w:r w:rsidRPr="00911428">
        <w:rPr>
          <w:noProof w:val="0"/>
          <w:lang w:val="en-GB"/>
        </w:rPr>
        <w:t>should allow to configure dual-connectivity (and in the future multi-connectivity). Therefore, it should be possible in the Bearer Context procedures to setup DRBs with multiple cell groups (i.e., radio legs).</w:t>
      </w:r>
    </w:p>
    <w:p w14:paraId="253F0DBD" w14:textId="76AF979B" w:rsidR="00911428" w:rsidRDefault="00911428" w:rsidP="0091142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w:t>
      </w:r>
      <w:r w:rsidR="00F6537B">
        <w:rPr>
          <w:noProof w:val="0"/>
          <w:lang w:val="en-GB"/>
        </w:rPr>
        <w:t xml:space="preserve">Context procedure include the </w:t>
      </w:r>
      <w:r w:rsidR="00F6537B" w:rsidRPr="00F6537B">
        <w:rPr>
          <w:i/>
          <w:noProof w:val="0"/>
          <w:lang w:val="en-GB"/>
        </w:rPr>
        <w:t>Cell Group</w:t>
      </w:r>
      <w:r w:rsidR="00F6537B">
        <w:rPr>
          <w:noProof w:val="0"/>
          <w:lang w:val="en-GB"/>
        </w:rPr>
        <w:t xml:space="preserve"> ID (as defined in TS 38.331) to identify a cell group (i.e., radio leg) for a DRB.</w:t>
      </w:r>
    </w:p>
    <w:p w14:paraId="49581C67" w14:textId="655CF17A" w:rsidR="00A70B07" w:rsidRPr="00A70B07" w:rsidRDefault="00A70B07" w:rsidP="00911428">
      <w:pPr>
        <w:pStyle w:val="TOC1"/>
        <w:spacing w:after="120"/>
        <w:jc w:val="both"/>
        <w:rPr>
          <w:noProof w:val="0"/>
          <w:lang w:val="en-GB"/>
        </w:rPr>
      </w:pPr>
      <w:r w:rsidRPr="00A70B07">
        <w:rPr>
          <w:noProof w:val="0"/>
          <w:lang w:val="en-GB"/>
        </w:rPr>
        <w:t xml:space="preserve">A text proposal </w:t>
      </w:r>
      <w:r w:rsidR="00F04906">
        <w:rPr>
          <w:noProof w:val="0"/>
          <w:lang w:val="en-GB"/>
        </w:rPr>
        <w:t>based on</w:t>
      </w:r>
      <w:r w:rsidRPr="00A70B07">
        <w:rPr>
          <w:noProof w:val="0"/>
          <w:lang w:val="en-GB"/>
        </w:rPr>
        <w:t xml:space="preserve"> the discussion in this paper is provided in R3-18</w:t>
      </w:r>
      <w:r w:rsidR="00F263EC">
        <w:rPr>
          <w:noProof w:val="0"/>
          <w:lang w:val="en-GB"/>
        </w:rPr>
        <w:t>2243</w:t>
      </w:r>
      <w:r w:rsidRPr="00A70B07">
        <w:rPr>
          <w:noProof w:val="0"/>
          <w:lang w:val="en-GB"/>
        </w:rPr>
        <w:t>.</w:t>
      </w:r>
    </w:p>
    <w:p w14:paraId="106FE58C" w14:textId="1216953E" w:rsidR="00130A8F" w:rsidRDefault="00130A8F" w:rsidP="00130A8F">
      <w:pPr>
        <w:pStyle w:val="Heading1"/>
      </w:pPr>
      <w:r>
        <w:t xml:space="preserve">Conclusion </w:t>
      </w:r>
    </w:p>
    <w:p w14:paraId="4BB4DA2C" w14:textId="6E970073" w:rsidR="00130A8F" w:rsidRDefault="00130A8F" w:rsidP="00130A8F">
      <w:r>
        <w:t xml:space="preserve">In this contribution, we </w:t>
      </w:r>
      <w:r w:rsidR="005A0F9A">
        <w:t xml:space="preserve">discussed </w:t>
      </w:r>
      <w:r w:rsidR="00F6537B">
        <w:t>dual-connectivity configuration over E1</w:t>
      </w:r>
      <w:r>
        <w:t xml:space="preserve">. </w:t>
      </w:r>
    </w:p>
    <w:p w14:paraId="3C48052E" w14:textId="77777777" w:rsidR="00F6537B" w:rsidRDefault="00F6537B" w:rsidP="00F6537B">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w:t>
      </w:r>
      <w:r w:rsidRPr="00911428">
        <w:rPr>
          <w:noProof w:val="0"/>
          <w:lang w:val="en-GB"/>
        </w:rPr>
        <w:t>should allow to configure dual-connectivity (and in the future multi-connectivity). Therefore, it should be possible in the Bearer Context procedures to setup DRBs with multiple cell groups (i.e., radio legs).</w:t>
      </w:r>
    </w:p>
    <w:p w14:paraId="31FB7FF7" w14:textId="2F5E38C1" w:rsidR="00F6537B" w:rsidRDefault="00F6537B" w:rsidP="00F6537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E1 Bearer Context procedure include the </w:t>
      </w:r>
      <w:r w:rsidRPr="00F6537B">
        <w:rPr>
          <w:i/>
          <w:noProof w:val="0"/>
          <w:lang w:val="en-GB"/>
        </w:rPr>
        <w:t>Cell Group</w:t>
      </w:r>
      <w:r>
        <w:rPr>
          <w:noProof w:val="0"/>
          <w:lang w:val="en-GB"/>
        </w:rPr>
        <w:t xml:space="preserve"> ID (as defined in TS 38.331) to identify a cell group (i.e., radio leg) for a DRB.</w:t>
      </w:r>
    </w:p>
    <w:p w14:paraId="0A23D949" w14:textId="3B288D48" w:rsidR="00F04906" w:rsidRPr="00A70B07" w:rsidRDefault="00F04906" w:rsidP="00F04906">
      <w:pPr>
        <w:pStyle w:val="TOC1"/>
        <w:spacing w:after="120"/>
        <w:jc w:val="both"/>
        <w:rPr>
          <w:noProof w:val="0"/>
          <w:lang w:val="en-GB"/>
        </w:rPr>
      </w:pPr>
      <w:r w:rsidRPr="00A70B07">
        <w:rPr>
          <w:noProof w:val="0"/>
          <w:lang w:val="en-GB"/>
        </w:rPr>
        <w:t xml:space="preserve">A text proposal </w:t>
      </w:r>
      <w:r>
        <w:rPr>
          <w:noProof w:val="0"/>
          <w:lang w:val="en-GB"/>
        </w:rPr>
        <w:t>based on</w:t>
      </w:r>
      <w:r w:rsidRPr="00A70B07">
        <w:rPr>
          <w:noProof w:val="0"/>
          <w:lang w:val="en-GB"/>
        </w:rPr>
        <w:t xml:space="preserve"> the discussion in this paper is provided in R3-18</w:t>
      </w:r>
      <w:r w:rsidR="005B3696">
        <w:rPr>
          <w:noProof w:val="0"/>
          <w:lang w:val="en-GB"/>
        </w:rPr>
        <w:t>2243</w:t>
      </w:r>
      <w:bookmarkStart w:id="0" w:name="_GoBack"/>
      <w:bookmarkEnd w:id="0"/>
      <w:r w:rsidRPr="00A70B07">
        <w:rPr>
          <w:noProof w:val="0"/>
          <w:lang w:val="en-GB"/>
        </w:rPr>
        <w:t>.</w:t>
      </w:r>
    </w:p>
    <w:p w14:paraId="5BC07932" w14:textId="77777777" w:rsidR="00130A8F" w:rsidRPr="00CE0424" w:rsidRDefault="00130A8F" w:rsidP="00130A8F">
      <w:pPr>
        <w:pStyle w:val="Heading1"/>
      </w:pPr>
      <w:r w:rsidRPr="00CE0424">
        <w:t>References</w:t>
      </w:r>
    </w:p>
    <w:p w14:paraId="4C53B573" w14:textId="6DC33A3F" w:rsidR="00130A8F" w:rsidRPr="00BC3568" w:rsidRDefault="002939A3" w:rsidP="002939A3">
      <w:pPr>
        <w:pStyle w:val="Reference"/>
      </w:pPr>
      <w:bookmarkStart w:id="1" w:name="_Ref484067741"/>
      <w:bookmarkStart w:id="2" w:name="_Ref174151459"/>
      <w:bookmarkStart w:id="3" w:name="_Ref189809556"/>
      <w:r w:rsidRPr="002939A3">
        <w:t>R3-181290</w:t>
      </w:r>
      <w:r w:rsidR="00130A8F">
        <w:t xml:space="preserve">, </w:t>
      </w:r>
      <w:bookmarkEnd w:id="1"/>
      <w:bookmarkEnd w:id="2"/>
      <w:bookmarkEnd w:id="3"/>
      <w:r w:rsidRPr="002939A3">
        <w:t>E1 control of UP resources in NG-RAN</w:t>
      </w:r>
    </w:p>
    <w:p w14:paraId="763FE6A0" w14:textId="77777777" w:rsidR="00F80C86" w:rsidRPr="00E03B51" w:rsidRDefault="00F80C86" w:rsidP="005C4CCA">
      <w:pPr>
        <w:pStyle w:val="TH"/>
        <w:rPr>
          <w:lang w:eastAsia="ja-JP"/>
        </w:rPr>
      </w:pPr>
    </w:p>
    <w:sectPr w:rsidR="00F80C86" w:rsidRPr="00E03B5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23D16" w14:textId="77777777" w:rsidR="00C73A79" w:rsidRDefault="00C73A79">
      <w:r>
        <w:separator/>
      </w:r>
    </w:p>
  </w:endnote>
  <w:endnote w:type="continuationSeparator" w:id="0">
    <w:p w14:paraId="75B5A833" w14:textId="77777777" w:rsidR="00C73A79" w:rsidRDefault="00C7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D5E862C" w:rsidR="00C201A6" w:rsidRDefault="00C201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36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369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48C2C" w14:textId="77777777" w:rsidR="00C73A79" w:rsidRDefault="00C73A79">
      <w:r>
        <w:separator/>
      </w:r>
    </w:p>
  </w:footnote>
  <w:footnote w:type="continuationSeparator" w:id="0">
    <w:p w14:paraId="32F89B4A" w14:textId="77777777" w:rsidR="00C73A79" w:rsidRDefault="00C7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201A6" w:rsidRDefault="00C20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74"/>
        </w:tabs>
        <w:ind w:left="1007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1E1B"/>
    <w:multiLevelType w:val="hybridMultilevel"/>
    <w:tmpl w:val="A2D4143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063D3"/>
    <w:multiLevelType w:val="hybridMultilevel"/>
    <w:tmpl w:val="42F06404"/>
    <w:lvl w:ilvl="0" w:tplc="E6FAC686">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C515FA"/>
    <w:multiLevelType w:val="hybridMultilevel"/>
    <w:tmpl w:val="775A31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85790"/>
    <w:multiLevelType w:val="hybridMultilevel"/>
    <w:tmpl w:val="DC6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4546D"/>
    <w:multiLevelType w:val="hybridMultilevel"/>
    <w:tmpl w:val="A2D4143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32936"/>
    <w:multiLevelType w:val="hybridMultilevel"/>
    <w:tmpl w:val="612C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5"/>
  </w:num>
  <w:num w:numId="4">
    <w:abstractNumId w:val="16"/>
  </w:num>
  <w:num w:numId="5">
    <w:abstractNumId w:val="11"/>
  </w:num>
  <w:num w:numId="6">
    <w:abstractNumId w:val="19"/>
  </w:num>
  <w:num w:numId="7">
    <w:abstractNumId w:val="28"/>
  </w:num>
  <w:num w:numId="8">
    <w:abstractNumId w:val="12"/>
  </w:num>
  <w:num w:numId="9">
    <w:abstractNumId w:val="25"/>
  </w:num>
  <w:num w:numId="10">
    <w:abstractNumId w:val="31"/>
  </w:num>
  <w:num w:numId="11">
    <w:abstractNumId w:val="2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3"/>
  </w:num>
  <w:num w:numId="16">
    <w:abstractNumId w:val="30"/>
  </w:num>
  <w:num w:numId="17">
    <w:abstractNumId w:val="33"/>
  </w:num>
  <w:num w:numId="18">
    <w:abstractNumId w:val="22"/>
  </w:num>
  <w:num w:numId="19">
    <w:abstractNumId w:val="37"/>
  </w:num>
  <w:num w:numId="20">
    <w:abstractNumId w:val="17"/>
  </w:num>
  <w:num w:numId="21">
    <w:abstractNumId w:val="32"/>
  </w:num>
  <w:num w:numId="22">
    <w:abstractNumId w:val="36"/>
  </w:num>
  <w:num w:numId="23">
    <w:abstractNumId w:val="6"/>
  </w:num>
  <w:num w:numId="24">
    <w:abstractNumId w:val="9"/>
  </w:num>
  <w:num w:numId="25">
    <w:abstractNumId w:val="27"/>
  </w:num>
  <w:num w:numId="26">
    <w:abstractNumId w:val="8"/>
  </w:num>
  <w:num w:numId="27">
    <w:abstractNumId w:val="35"/>
  </w:num>
  <w:num w:numId="28">
    <w:abstractNumId w:val="29"/>
  </w:num>
  <w:num w:numId="29">
    <w:abstractNumId w:val="10"/>
  </w:num>
  <w:num w:numId="30">
    <w:abstractNumId w:val="18"/>
  </w:num>
  <w:num w:numId="31">
    <w:abstractNumId w:val="3"/>
  </w:num>
  <w:num w:numId="32">
    <w:abstractNumId w:val="0"/>
  </w:num>
  <w:num w:numId="33">
    <w:abstractNumId w:val="20"/>
  </w:num>
  <w:num w:numId="34">
    <w:abstractNumId w:val="7"/>
  </w:num>
  <w:num w:numId="35">
    <w:abstractNumId w:val="34"/>
  </w:num>
  <w:num w:numId="36">
    <w:abstractNumId w:val="14"/>
  </w:num>
  <w:num w:numId="37">
    <w:abstractNumId w:val="5"/>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6E4"/>
    <w:rsid w:val="0000594E"/>
    <w:rsid w:val="00006446"/>
    <w:rsid w:val="00006896"/>
    <w:rsid w:val="00006B58"/>
    <w:rsid w:val="00006EF6"/>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648"/>
    <w:rsid w:val="00036BA1"/>
    <w:rsid w:val="000373A1"/>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5EA4"/>
    <w:rsid w:val="000C7DC4"/>
    <w:rsid w:val="000D019C"/>
    <w:rsid w:val="000D0488"/>
    <w:rsid w:val="000D0D07"/>
    <w:rsid w:val="000D40F8"/>
    <w:rsid w:val="000D4312"/>
    <w:rsid w:val="000D4797"/>
    <w:rsid w:val="000D4C42"/>
    <w:rsid w:val="000D51FB"/>
    <w:rsid w:val="000E0527"/>
    <w:rsid w:val="000E135B"/>
    <w:rsid w:val="000E1E92"/>
    <w:rsid w:val="000E291B"/>
    <w:rsid w:val="000F06D6"/>
    <w:rsid w:val="000F0EB1"/>
    <w:rsid w:val="000F1106"/>
    <w:rsid w:val="000F1412"/>
    <w:rsid w:val="000F184D"/>
    <w:rsid w:val="000F1873"/>
    <w:rsid w:val="000F3BE9"/>
    <w:rsid w:val="000F3F6C"/>
    <w:rsid w:val="000F42EB"/>
    <w:rsid w:val="000F6743"/>
    <w:rsid w:val="000F6DF3"/>
    <w:rsid w:val="000F7B77"/>
    <w:rsid w:val="001005FF"/>
    <w:rsid w:val="001007F2"/>
    <w:rsid w:val="0010147A"/>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AF1"/>
    <w:rsid w:val="001551B5"/>
    <w:rsid w:val="00155C2B"/>
    <w:rsid w:val="00156808"/>
    <w:rsid w:val="0015762A"/>
    <w:rsid w:val="00157C31"/>
    <w:rsid w:val="00160E23"/>
    <w:rsid w:val="001622BB"/>
    <w:rsid w:val="0016392B"/>
    <w:rsid w:val="001643A8"/>
    <w:rsid w:val="0016555B"/>
    <w:rsid w:val="001659C1"/>
    <w:rsid w:val="0016624E"/>
    <w:rsid w:val="00167222"/>
    <w:rsid w:val="00170067"/>
    <w:rsid w:val="0017045C"/>
    <w:rsid w:val="001718EC"/>
    <w:rsid w:val="001732EB"/>
    <w:rsid w:val="00173A8E"/>
    <w:rsid w:val="001741AA"/>
    <w:rsid w:val="00177795"/>
    <w:rsid w:val="0018143F"/>
    <w:rsid w:val="0018215E"/>
    <w:rsid w:val="00182FC8"/>
    <w:rsid w:val="00183274"/>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950"/>
    <w:rsid w:val="00280E2B"/>
    <w:rsid w:val="0028280A"/>
    <w:rsid w:val="00283E1D"/>
    <w:rsid w:val="00284F31"/>
    <w:rsid w:val="0028561E"/>
    <w:rsid w:val="002863A8"/>
    <w:rsid w:val="00286ACD"/>
    <w:rsid w:val="00287838"/>
    <w:rsid w:val="00287FC8"/>
    <w:rsid w:val="002907B5"/>
    <w:rsid w:val="002921E6"/>
    <w:rsid w:val="00292EB7"/>
    <w:rsid w:val="00293328"/>
    <w:rsid w:val="002939A3"/>
    <w:rsid w:val="00296227"/>
    <w:rsid w:val="00296F44"/>
    <w:rsid w:val="002972E7"/>
    <w:rsid w:val="0029739C"/>
    <w:rsid w:val="0029777D"/>
    <w:rsid w:val="002A0153"/>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349"/>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67D94"/>
    <w:rsid w:val="005702FB"/>
    <w:rsid w:val="00571171"/>
    <w:rsid w:val="005711B9"/>
    <w:rsid w:val="00571BFF"/>
    <w:rsid w:val="00572505"/>
    <w:rsid w:val="005730C2"/>
    <w:rsid w:val="00574D55"/>
    <w:rsid w:val="00580202"/>
    <w:rsid w:val="005802C2"/>
    <w:rsid w:val="00582809"/>
    <w:rsid w:val="005836D2"/>
    <w:rsid w:val="00584E55"/>
    <w:rsid w:val="005874A0"/>
    <w:rsid w:val="005875C9"/>
    <w:rsid w:val="0058798C"/>
    <w:rsid w:val="005900FA"/>
    <w:rsid w:val="0059101A"/>
    <w:rsid w:val="00591E55"/>
    <w:rsid w:val="00592F00"/>
    <w:rsid w:val="005935A4"/>
    <w:rsid w:val="00594252"/>
    <w:rsid w:val="005948C2"/>
    <w:rsid w:val="00594A95"/>
    <w:rsid w:val="00594E97"/>
    <w:rsid w:val="00595DCA"/>
    <w:rsid w:val="00596ABE"/>
    <w:rsid w:val="0059779B"/>
    <w:rsid w:val="005A0F9A"/>
    <w:rsid w:val="005A12D3"/>
    <w:rsid w:val="005A209A"/>
    <w:rsid w:val="005A2347"/>
    <w:rsid w:val="005A2A1F"/>
    <w:rsid w:val="005A662D"/>
    <w:rsid w:val="005A6C45"/>
    <w:rsid w:val="005A78CA"/>
    <w:rsid w:val="005B045C"/>
    <w:rsid w:val="005B28BD"/>
    <w:rsid w:val="005B35D7"/>
    <w:rsid w:val="005B3696"/>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3CD"/>
    <w:rsid w:val="00607C83"/>
    <w:rsid w:val="006102C9"/>
    <w:rsid w:val="00611B83"/>
    <w:rsid w:val="00612656"/>
    <w:rsid w:val="00613257"/>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94F"/>
    <w:rsid w:val="006B69B4"/>
    <w:rsid w:val="006C03B8"/>
    <w:rsid w:val="006C14C0"/>
    <w:rsid w:val="006C5EC9"/>
    <w:rsid w:val="006C6059"/>
    <w:rsid w:val="006C6927"/>
    <w:rsid w:val="006C7522"/>
    <w:rsid w:val="006D0D96"/>
    <w:rsid w:val="006D1F71"/>
    <w:rsid w:val="006D68DC"/>
    <w:rsid w:val="006D6F08"/>
    <w:rsid w:val="006E062C"/>
    <w:rsid w:val="006E0CC5"/>
    <w:rsid w:val="006E28B7"/>
    <w:rsid w:val="006E3310"/>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6C13"/>
    <w:rsid w:val="00717308"/>
    <w:rsid w:val="00717AFA"/>
    <w:rsid w:val="00717EE1"/>
    <w:rsid w:val="00721593"/>
    <w:rsid w:val="00721626"/>
    <w:rsid w:val="00722660"/>
    <w:rsid w:val="00722CDD"/>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BA3"/>
    <w:rsid w:val="00795C92"/>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920"/>
    <w:rsid w:val="007C60BF"/>
    <w:rsid w:val="007C6A07"/>
    <w:rsid w:val="007C75A1"/>
    <w:rsid w:val="007C77A5"/>
    <w:rsid w:val="007C7F07"/>
    <w:rsid w:val="007D04E5"/>
    <w:rsid w:val="007D311E"/>
    <w:rsid w:val="007D3F4F"/>
    <w:rsid w:val="007D5901"/>
    <w:rsid w:val="007D6C67"/>
    <w:rsid w:val="007D7526"/>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4DC"/>
    <w:rsid w:val="0081132E"/>
    <w:rsid w:val="00811661"/>
    <w:rsid w:val="00811FCB"/>
    <w:rsid w:val="0081252B"/>
    <w:rsid w:val="00812962"/>
    <w:rsid w:val="00812F14"/>
    <w:rsid w:val="008141E0"/>
    <w:rsid w:val="0081457F"/>
    <w:rsid w:val="008158D6"/>
    <w:rsid w:val="00815EBA"/>
    <w:rsid w:val="00816B4A"/>
    <w:rsid w:val="00817196"/>
    <w:rsid w:val="00817A4D"/>
    <w:rsid w:val="00817EDE"/>
    <w:rsid w:val="00822331"/>
    <w:rsid w:val="008235DB"/>
    <w:rsid w:val="00824AB4"/>
    <w:rsid w:val="00824DA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63B99"/>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4F28"/>
    <w:rsid w:val="008D52DC"/>
    <w:rsid w:val="008D6D1A"/>
    <w:rsid w:val="008E029F"/>
    <w:rsid w:val="008E065E"/>
    <w:rsid w:val="008E0927"/>
    <w:rsid w:val="008E1909"/>
    <w:rsid w:val="008E44B8"/>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428"/>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63"/>
    <w:rsid w:val="0098567E"/>
    <w:rsid w:val="009871CF"/>
    <w:rsid w:val="00990630"/>
    <w:rsid w:val="00990EB7"/>
    <w:rsid w:val="00991484"/>
    <w:rsid w:val="00991761"/>
    <w:rsid w:val="00992648"/>
    <w:rsid w:val="00993272"/>
    <w:rsid w:val="009932BB"/>
    <w:rsid w:val="0099366C"/>
    <w:rsid w:val="00993A69"/>
    <w:rsid w:val="00994DCA"/>
    <w:rsid w:val="009960EC"/>
    <w:rsid w:val="009970DD"/>
    <w:rsid w:val="009A0FBA"/>
    <w:rsid w:val="009A1601"/>
    <w:rsid w:val="009A1FBB"/>
    <w:rsid w:val="009A215F"/>
    <w:rsid w:val="009A462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202"/>
    <w:rsid w:val="00A16ACA"/>
    <w:rsid w:val="00A17F63"/>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0688"/>
    <w:rsid w:val="00A4107B"/>
    <w:rsid w:val="00A414BF"/>
    <w:rsid w:val="00A41E2B"/>
    <w:rsid w:val="00A452F0"/>
    <w:rsid w:val="00A45B74"/>
    <w:rsid w:val="00A51466"/>
    <w:rsid w:val="00A51568"/>
    <w:rsid w:val="00A5264C"/>
    <w:rsid w:val="00A52E1D"/>
    <w:rsid w:val="00A53B7A"/>
    <w:rsid w:val="00A55AFD"/>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0B07"/>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AB8"/>
    <w:rsid w:val="00AB4E95"/>
    <w:rsid w:val="00AB54D8"/>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79A3"/>
    <w:rsid w:val="00AE7F5A"/>
    <w:rsid w:val="00AF0BFA"/>
    <w:rsid w:val="00AF13F7"/>
    <w:rsid w:val="00AF1C17"/>
    <w:rsid w:val="00AF1C5D"/>
    <w:rsid w:val="00AF3CAA"/>
    <w:rsid w:val="00AF42D7"/>
    <w:rsid w:val="00AF4961"/>
    <w:rsid w:val="00AF5D21"/>
    <w:rsid w:val="00AF6C00"/>
    <w:rsid w:val="00AF6F2F"/>
    <w:rsid w:val="00B006FE"/>
    <w:rsid w:val="00B007CB"/>
    <w:rsid w:val="00B019CA"/>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64C7"/>
    <w:rsid w:val="00B71B58"/>
    <w:rsid w:val="00B730B2"/>
    <w:rsid w:val="00B739F6"/>
    <w:rsid w:val="00B76DD7"/>
    <w:rsid w:val="00B76EFA"/>
    <w:rsid w:val="00B8117B"/>
    <w:rsid w:val="00B8126C"/>
    <w:rsid w:val="00B81A6C"/>
    <w:rsid w:val="00B81D70"/>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A2280"/>
    <w:rsid w:val="00BA2A08"/>
    <w:rsid w:val="00BA56D2"/>
    <w:rsid w:val="00BA6440"/>
    <w:rsid w:val="00BA72AF"/>
    <w:rsid w:val="00BA76E0"/>
    <w:rsid w:val="00BA7CA5"/>
    <w:rsid w:val="00BB0186"/>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2949"/>
    <w:rsid w:val="00BD46A8"/>
    <w:rsid w:val="00BD48AC"/>
    <w:rsid w:val="00BD4CEB"/>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3FD4"/>
    <w:rsid w:val="00C14B88"/>
    <w:rsid w:val="00C14D4B"/>
    <w:rsid w:val="00C154BB"/>
    <w:rsid w:val="00C15B66"/>
    <w:rsid w:val="00C201A6"/>
    <w:rsid w:val="00C210BC"/>
    <w:rsid w:val="00C21C9E"/>
    <w:rsid w:val="00C235EF"/>
    <w:rsid w:val="00C237F8"/>
    <w:rsid w:val="00C26FAA"/>
    <w:rsid w:val="00C27806"/>
    <w:rsid w:val="00C279B5"/>
    <w:rsid w:val="00C27C45"/>
    <w:rsid w:val="00C3031C"/>
    <w:rsid w:val="00C320FB"/>
    <w:rsid w:val="00C32657"/>
    <w:rsid w:val="00C33F4B"/>
    <w:rsid w:val="00C34E02"/>
    <w:rsid w:val="00C3719D"/>
    <w:rsid w:val="00C37CC3"/>
    <w:rsid w:val="00C4067E"/>
    <w:rsid w:val="00C41F6C"/>
    <w:rsid w:val="00C42BAB"/>
    <w:rsid w:val="00C440BE"/>
    <w:rsid w:val="00C4636C"/>
    <w:rsid w:val="00C46A82"/>
    <w:rsid w:val="00C4742E"/>
    <w:rsid w:val="00C47DDC"/>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67B62"/>
    <w:rsid w:val="00C70697"/>
    <w:rsid w:val="00C72AB5"/>
    <w:rsid w:val="00C72EF4"/>
    <w:rsid w:val="00C73A7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6B9"/>
    <w:rsid w:val="00CA1ED8"/>
    <w:rsid w:val="00CA31A3"/>
    <w:rsid w:val="00CA3D41"/>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5E23"/>
    <w:rsid w:val="00CC6CFD"/>
    <w:rsid w:val="00CC7B45"/>
    <w:rsid w:val="00CD1002"/>
    <w:rsid w:val="00CD1188"/>
    <w:rsid w:val="00CD2321"/>
    <w:rsid w:val="00CD2ED1"/>
    <w:rsid w:val="00CD337B"/>
    <w:rsid w:val="00CD4B1C"/>
    <w:rsid w:val="00CD7DDB"/>
    <w:rsid w:val="00CE0424"/>
    <w:rsid w:val="00CE22D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76CA"/>
    <w:rsid w:val="00D60E13"/>
    <w:rsid w:val="00D61AF5"/>
    <w:rsid w:val="00D62054"/>
    <w:rsid w:val="00D62CD5"/>
    <w:rsid w:val="00D6435F"/>
    <w:rsid w:val="00D64BBB"/>
    <w:rsid w:val="00D64EF7"/>
    <w:rsid w:val="00D652B5"/>
    <w:rsid w:val="00D65CCF"/>
    <w:rsid w:val="00D66155"/>
    <w:rsid w:val="00D708B0"/>
    <w:rsid w:val="00D70E73"/>
    <w:rsid w:val="00D7135D"/>
    <w:rsid w:val="00D718BB"/>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61D"/>
    <w:rsid w:val="00D878F0"/>
    <w:rsid w:val="00D91055"/>
    <w:rsid w:val="00D9196D"/>
    <w:rsid w:val="00D92982"/>
    <w:rsid w:val="00D94630"/>
    <w:rsid w:val="00DA01B6"/>
    <w:rsid w:val="00DA1349"/>
    <w:rsid w:val="00DA305E"/>
    <w:rsid w:val="00DA4A74"/>
    <w:rsid w:val="00DA4C8F"/>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04E"/>
    <w:rsid w:val="00DC53EF"/>
    <w:rsid w:val="00DD2697"/>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ED3"/>
    <w:rsid w:val="00E4258F"/>
    <w:rsid w:val="00E446F1"/>
    <w:rsid w:val="00E46091"/>
    <w:rsid w:val="00E46886"/>
    <w:rsid w:val="00E47AEF"/>
    <w:rsid w:val="00E50451"/>
    <w:rsid w:val="00E5078B"/>
    <w:rsid w:val="00E50DED"/>
    <w:rsid w:val="00E518D7"/>
    <w:rsid w:val="00E52C3B"/>
    <w:rsid w:val="00E53B75"/>
    <w:rsid w:val="00E54E3B"/>
    <w:rsid w:val="00E5509A"/>
    <w:rsid w:val="00E57565"/>
    <w:rsid w:val="00E625EE"/>
    <w:rsid w:val="00E62F35"/>
    <w:rsid w:val="00E63838"/>
    <w:rsid w:val="00E64434"/>
    <w:rsid w:val="00E67C51"/>
    <w:rsid w:val="00E71DF6"/>
    <w:rsid w:val="00E72B2A"/>
    <w:rsid w:val="00E72EFC"/>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5F7"/>
    <w:rsid w:val="00EC27C6"/>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60D0"/>
    <w:rsid w:val="00EF682C"/>
    <w:rsid w:val="00F021D1"/>
    <w:rsid w:val="00F04906"/>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63EC"/>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4FC"/>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37B"/>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D16"/>
    <w:rsid w:val="00F82200"/>
    <w:rsid w:val="00F840CC"/>
    <w:rsid w:val="00F8452F"/>
    <w:rsid w:val="00F8456C"/>
    <w:rsid w:val="00F85133"/>
    <w:rsid w:val="00F859D8"/>
    <w:rsid w:val="00F85FC2"/>
    <w:rsid w:val="00F868F5"/>
    <w:rsid w:val="00F90270"/>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5750E969-4A9F-43C1-9319-ECAA98C1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2036</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209</cp:revision>
  <cp:lastPrinted>2008-01-31T06:09:00Z</cp:lastPrinted>
  <dcterms:created xsi:type="dcterms:W3CDTF">2018-01-12T18:07:00Z</dcterms:created>
  <dcterms:modified xsi:type="dcterms:W3CDTF">2018-04-06T20:47:00Z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